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AC" w:rsidRDefault="003404F6" w:rsidP="001B0A42">
      <w:pPr>
        <w:rPr>
          <w:b/>
        </w:rPr>
      </w:pPr>
      <w:r>
        <w:t xml:space="preserve">                            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  <w:r w:rsidR="00930845">
        <w:rPr>
          <w:rFonts w:ascii="Times New Roman" w:hAnsi="Times New Roman" w:cs="Times New Roman"/>
          <w:sz w:val="28"/>
          <w:szCs w:val="28"/>
        </w:rPr>
        <w:t xml:space="preserve">                       Додаток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начальника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______________№_________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3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Програми)                                                 </w:t>
      </w:r>
    </w:p>
    <w:p w:rsidR="008834AC" w:rsidRDefault="00883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4AC" w:rsidRDefault="003404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завдань, заходів і р</w:t>
      </w:r>
      <w:r w:rsidR="002D48C6">
        <w:rPr>
          <w:rFonts w:ascii="Times New Roman" w:hAnsi="Times New Roman" w:cs="Times New Roman"/>
          <w:b/>
          <w:sz w:val="28"/>
          <w:szCs w:val="28"/>
        </w:rPr>
        <w:t>езультативних показників на 2026</w:t>
      </w:r>
      <w:r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8834AC" w:rsidRDefault="00E202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D48C6">
        <w:rPr>
          <w:rFonts w:ascii="Times New Roman" w:hAnsi="Times New Roman" w:cs="Times New Roman"/>
          <w:b/>
          <w:sz w:val="28"/>
          <w:szCs w:val="28"/>
        </w:rPr>
        <w:t>рограми</w:t>
      </w:r>
      <w:r w:rsidR="003404F6">
        <w:rPr>
          <w:rFonts w:ascii="Times New Roman" w:hAnsi="Times New Roman" w:cs="Times New Roman"/>
          <w:b/>
          <w:sz w:val="28"/>
          <w:szCs w:val="28"/>
        </w:rPr>
        <w:t xml:space="preserve"> розвитку освіти Л</w:t>
      </w:r>
      <w:r w:rsidR="002D48C6">
        <w:rPr>
          <w:rFonts w:ascii="Times New Roman" w:hAnsi="Times New Roman" w:cs="Times New Roman"/>
          <w:b/>
          <w:sz w:val="28"/>
          <w:szCs w:val="28"/>
        </w:rPr>
        <w:t>ьвівської області на 2021 – 2026</w:t>
      </w:r>
      <w:r w:rsidR="003404F6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p w:rsidR="008834AC" w:rsidRDefault="00883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a"/>
        <w:tblpPr w:leftFromText="180" w:rightFromText="180" w:vertAnchor="text" w:tblpX="-451" w:tblpY="1"/>
        <w:tblW w:w="1756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1"/>
        <w:gridCol w:w="1461"/>
        <w:gridCol w:w="76"/>
        <w:gridCol w:w="1765"/>
        <w:gridCol w:w="1840"/>
        <w:gridCol w:w="851"/>
        <w:gridCol w:w="567"/>
        <w:gridCol w:w="850"/>
        <w:gridCol w:w="851"/>
        <w:gridCol w:w="851"/>
        <w:gridCol w:w="992"/>
        <w:gridCol w:w="993"/>
        <w:gridCol w:w="1287"/>
        <w:gridCol w:w="76"/>
        <w:gridCol w:w="2900"/>
        <w:gridCol w:w="13"/>
        <w:gridCol w:w="6"/>
        <w:gridCol w:w="1676"/>
      </w:tblGrid>
      <w:tr w:rsidR="00726CAB" w:rsidTr="00A44ABE">
        <w:trPr>
          <w:gridAfter w:val="1"/>
          <w:wAfter w:w="1676" w:type="dxa"/>
          <w:trHeight w:val="245"/>
          <w:tblHeader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 цілі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Заходи цілей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виконання заходу, один. виміру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Виконавці </w:t>
            </w:r>
          </w:p>
          <w:p w:rsidR="00726CAB" w:rsidRDefault="00726CAB" w:rsidP="00ED550C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</w:p>
        </w:tc>
        <w:tc>
          <w:tcPr>
            <w:tcW w:w="9386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26CAB" w:rsidRDefault="00726CAB" w:rsidP="00ED550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Фінансування</w:t>
            </w:r>
          </w:p>
        </w:tc>
      </w:tr>
      <w:tr w:rsidR="00726CAB" w:rsidTr="00A44ABE">
        <w:trPr>
          <w:gridAfter w:val="1"/>
          <w:wAfter w:w="1676" w:type="dxa"/>
          <w:trHeight w:val="137"/>
          <w:tblHeader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Джере</w:t>
            </w:r>
          </w:p>
          <w:p w:rsidR="00726CAB" w:rsidRDefault="00726CAB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ла*</w:t>
            </w:r>
          </w:p>
        </w:tc>
        <w:tc>
          <w:tcPr>
            <w:tcW w:w="88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CAB" w:rsidRDefault="00726CAB" w:rsidP="00ED550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Обсяги, тис. грн</w:t>
            </w:r>
          </w:p>
        </w:tc>
      </w:tr>
      <w:tr w:rsidR="0013079A" w:rsidTr="00A44ABE">
        <w:trPr>
          <w:gridAfter w:val="2"/>
          <w:wAfter w:w="1682" w:type="dxa"/>
          <w:trHeight w:val="70"/>
          <w:tblHeader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13079A" w:rsidRDefault="0013079A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13079A" w:rsidRDefault="0013079A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:rsidR="0013079A" w:rsidRDefault="0013079A" w:rsidP="00ED550C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рік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рік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2026 рік 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Індикатори</w:t>
            </w:r>
          </w:p>
        </w:tc>
      </w:tr>
      <w:tr w:rsidR="00726CAB" w:rsidTr="00A44ABE">
        <w:trPr>
          <w:gridAfter w:val="1"/>
          <w:wAfter w:w="1676" w:type="dxa"/>
          <w:trHeight w:val="70"/>
        </w:trPr>
        <w:tc>
          <w:tcPr>
            <w:tcW w:w="15890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803D4C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="00726C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рік**</w:t>
            </w:r>
          </w:p>
          <w:p w:rsidR="00726CAB" w:rsidRDefault="00726CAB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6CAB" w:rsidTr="00A44ABE">
        <w:trPr>
          <w:gridAfter w:val="1"/>
          <w:wAfter w:w="1676" w:type="dxa"/>
          <w:trHeight w:val="70"/>
        </w:trPr>
        <w:tc>
          <w:tcPr>
            <w:tcW w:w="158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Дошкільна освіта</w:t>
            </w:r>
          </w:p>
          <w:p w:rsidR="00726CAB" w:rsidRDefault="00726CAB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  <w:trHeight w:val="7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розроблення та апробацію освітніх програм і навчальних курсів, що дозволяють ефективно реалізувати вимоги Базового компонента дошкільної освіти та програми розвитку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дитини, відповідають інтересам батьків і місцевих громад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Впровадження в ЗДО області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інноваційних освітніх програм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міжнародної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парціальної програми соціально-фінансової освіти дітей дошкільного віку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Афлатот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(Нідерланди)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авторської комплексної оздоровчої програми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Нехворійко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в) парціальної програми з духовно-морального виховання «Зерно любові».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програмно-методичного забезпечення для цих програм.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ЗДО, що працюють за програмою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дошкільнят, які навчаються за програмою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дошкільника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Якості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Забезпечення потреби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ДОН ЛОДА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Виконані роботи та надані послуги 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Охоплені програмами 32 ЗДО, 480 дошкільнят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(орієнтовно)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Випущено 3 методичні посібники (до 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Дошкільнятам забезпечено якісний виховний простір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ініціативи, спрямовані на саморозвиток спільнот ЗДО,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якості та ефективності освітнього процесу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Забезпечення  наступності в упровадженні особистісно-орієнтованої моделі змісту освіти, передбаченої  Базовим компонентом дошкільної освіти та Державним стандартом початкової освіти, через: 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щосеместрові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спільні конференції (онлайн-конференції) вихователів ЗДО та вчителів початкової школи (класних керівників) для обміну досвідом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взаємонавчання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створення програмно-методичного забезпечення наступності між дошкільною 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початковою освітою та ін.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робіт,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онлайн-конференцій вихователів ЗДО та вчителів початкової школи.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обсяг програмно-методичних розробок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надані послуги на одного користувача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Виконані роботи та надані послуги 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вебінари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1 науково-практичну конференцію вихователів ЗДО та вчителів початкової школи (орієнтовно 210 осіб).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до друку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.-метод.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посібн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 наступність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упровадженні особистісно-орієнтованої моделі змісту освіти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30 ЗДО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Організація  освітнього середовища в закладах дошкільної освіти за критеріями якості з методики ECERS-3 (у межах всеукраїнського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освоєння методики ECERS-3, моніторингу та підвищення якості освітнього середовища у пілотних ЗДО)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ЗДО, охоплених ECERS-3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ЗДО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Продуктивність запропонованих змін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98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2A18" w:rsidTr="00A44ABE">
        <w:trPr>
          <w:gridAfter w:val="1"/>
          <w:wAfter w:w="1676" w:type="dxa"/>
        </w:trPr>
        <w:tc>
          <w:tcPr>
            <w:tcW w:w="15890" w:type="dxa"/>
            <w:gridSpan w:val="17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B2A18" w:rsidRDefault="00DB2A18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середня освіта</w:t>
            </w:r>
          </w:p>
          <w:p w:rsidR="00DB2A18" w:rsidRDefault="00DB2A18" w:rsidP="00ED550C">
            <w:pPr>
              <w:spacing w:after="0" w:line="240" w:lineRule="auto"/>
              <w:jc w:val="center"/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Підтримувати розроблення та апробацію освітніх програм і навчальних курсів, що дозволяють ефективно реалізувати стандарти початкової та базової загальної освіти, відповідають запитам і потребам учнів і місцевих громад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«Впровадження нових інноваційних програми для осучаснення освітнього процесу»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премій, виконаних робіт та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авторських програм.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Обсяг дидактичних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Результати апробації програм і матеріалів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Грифування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 і матеріалів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C5591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591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5591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Відібрано нові інноваційні програми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”: статеве виховання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контексті дорослої відповідальності». Впровадження у ЗЗСО програми статевого виховання молоді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Sexuality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context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Adult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“Навчання статевої поведінки у контексті дорослої відповідальності”). Тренінги для педагогів та пілотні курси для школярів Львівщини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Обсяг навчальних занять для вчителів та учнів (год.)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 та учнів, охоплених програмою (%)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запропонованого змісту навчання програмі та вимогам до якості наданих послуг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Комісія освіти і виховання УГКЦ;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Österreich</w:t>
            </w:r>
            <w:proofErr w:type="spellEnd"/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 Український католицький університет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Організовувати різного виду змагання між учасниками освітнього процесу з метою виявлення їхніх обдарувань, розвитку креативності та вольових якостей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Книгокрай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Формування навичок читацької культури, підвищення рівня читацької грамотності й мотивації школярів до читання книжок за допомогою інформаційно-ігрової електронної платформи для вдумливих читачів дитячого віку. Наповнення е-платформи контентом. Нагородження кращих читачів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Інформаційно-ігрова електронна платформа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продукту розробленому технічному завданню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учнів, які розвивають навички читача як користувачі платформи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«ЛОНПБ»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Підвищити ефективність освітнього процесу через впровадження сучасних технологій та засобів навчання, зокрема  дистанційне та змішане навчання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«Дидактичне забезпечення змішаного та дистанційного навчання».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конкурс навчальних матеріалів до змістових модулів чинних загальноосвітніх навчальних програм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Сумарний обсяг навчальних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продукт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матеріалів вимогам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  <w:trHeight w:val="187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«Ательє візуальних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 Створення сучасної знімальної студії. Забезпечення візуального контенту освітнього процесу та візуального супроводу освітніх заходів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закупленого обладнання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 виконаних робіт /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виробленого візуального продукту (байти)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продукт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Оберігати здоров’я учасників освітнього процесу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«Школа сприяння здоров’ю». Залучення педколективів ЗЗСО до розбудови здорового середовища із застосуванням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апробованого інструменту самооцінки і вдосконалення ЗЗСО «Індекс здоров’я школи». Розроблення методичних матеріалів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педколективів, що застосовують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інструмент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середовища критеріям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ініціативи, спрямовані на саморозвиток спільнот ЗЗСО,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якості та ефективності освітнього процесу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«Оцінювання якості освітнього середовища: е-інструментарій виміру показників». Розроблення та впровадження технології оцінювання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якості освітнього середовища ЗЗСО як виховного простору з використанням електронного інструментарію вимірювання показників (анкет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результатів досліджень)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Е-анкети та 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рограми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накопичування даних.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К-ть ЗЗСО, які використовують інструментарій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технологією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Виконано робіт/надано послуг на суму 100 тис грн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3 електронні анкети та базу даних якості виховного простору ЗЗСО.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Підготовано до друку навчально-методичний посібник з описом технології дослідження якості виховного простору і організації професійного розвитку педагогічних працівників щодо вимірювання та аналізу результатів досліджень.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2 тренінги для пед. персоналу 10 ЗЗСО, де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апробовуватиметься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інструментарій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«Ефективність освітніх мереж територіальних громад Львівщини». Моніторинг функціонування ЗЗСО у територіальних громадах та якості надаваних цими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закладами послуг з метою оцінки ефективності та сприяння оптимізації мережі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громад та ЗО, які скористалися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 громад, яким надано послуги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наданих послуг запитам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Стимулювати професійне зростання педагогічних працівників. Запровадити систему науково-педагогічної підтримки педагогічних кадрів ЗЗСО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«Освітній Еверест». Створення при опорних ЗЗСО постійно діючих тренінгових центрів професійного зростання педагогічних працівників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взаємонавчання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розроблення інструментарію формувального оцінювання, правильників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внутрішньошкільного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заохочення та оцінювання, орієнтованих на стимулювання особистісного розвитку дитини.  Створення методичних матеріалів для вчителя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педагога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викладання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ЦПР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ОУОТГ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  <w:trHeight w:val="1552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Розвиток мережі центрів професійного розвитку педагогічних працівників області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(у тисячах грн.)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створених та обладнаних ЦПР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педагогів, яким надано послуги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результатів оцінювання педагогами роботи ЦПР вимогам до якості наданих послуг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 «Центр освітніх ініціатив»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Преміювання педагогічних працівників Львівщини, 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яких вирізняється творчим підходом та методичними знахідками (конкурс «Вчитель року» та ін.), в тому числі видатних працівників освіти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Оптимальність преміальних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Визнання справедливості та об’єктивності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приблизно 50 педагогів області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90 % опитаних із вибірки отримувачів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 об’єктивність та справедливість преміювання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Модернізувати мережу ЗЗСО області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«НУШ: кроки впровадження». Формування мережі ліцеїв (трансформація санаторних шкіл, моделювання, набуття статусу, формування матеріально-технічної і навчально-методичної бази та ін.). Приведення 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відповідність до чинного законодавства установчих документів ЗЗСО та ін.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придбаних матеріалів та обладнання / виконаних робіт /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Комплекти установчих документів для академічних ліцеїв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Комплекти обладнання для академічних ліцеїв.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відремонтованих приміщень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примцщень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обладнання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1709,1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Розраховано потреби ліцеїв у  обладнанні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якісного та безпечного харчування шляхом модернізації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їдалень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 харчоблоків закладів загальної середньої освіти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обладнання, створення та модернізація (проведення реконструкції та капітального ремонту)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їдалень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(харчоблоків) у закладах загальної середньої освіти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 /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учнів, що користуються послугою харчування якісне та безпечне харчування з дотриманням принципів системи НАССР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Якісне та безпечне харчування з дотриманням принципів НАССР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 умов харчування учнів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заклалах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загальної середньої освіти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23720,426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безпечених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належних умов перебування та навчання учнів у закладах  загальної середньої освіти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загальної середньої освіти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ремонтів, придбання матеріалів та обладнання у закладах загальної середньої освіти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Облаштування безпечних умов у навчальних закладах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 / 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учнів, що користуються послугами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витрат на 1 учня  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(%)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1878,3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обладнання, проведено ремонти у закладах загальної середньої освіти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Облаштовано укриття у закладах освіти обласного підпорядкування</w:t>
            </w:r>
          </w:p>
        </w:tc>
      </w:tr>
      <w:tr w:rsidR="0013079A" w:rsidTr="00A44ABE">
        <w:trPr>
          <w:gridAfter w:val="2"/>
          <w:wAfter w:w="1682" w:type="dxa"/>
          <w:trHeight w:val="18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27195,426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6237,4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A44ABE">
        <w:trPr>
          <w:gridAfter w:val="1"/>
          <w:wAfter w:w="1676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79" w:type="dxa"/>
            <w:gridSpan w:val="16"/>
          </w:tcPr>
          <w:p w:rsidR="006C3174" w:rsidRPr="001B0A42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Спеціальна</w:t>
            </w:r>
            <w:r w:rsidRPr="001B0A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освіта</w:t>
            </w:r>
          </w:p>
        </w:tc>
      </w:tr>
      <w:tr w:rsidR="00A44ABE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Зміцнення матеріально-технічної бази закладів освіти обласного підпорядкування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освіти обласного підпорядкування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обладнанням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обладнання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Зростання ефективності навчання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8637EF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обладнання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ABE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 з розроблення змісту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допрофільної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підготовки та профільного навчання, забезпечення інклюзивного професійного навчання у спеціальних ЗЗСО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Впровадження профільного навчання за спеціальностями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«масажист», «перукар», «кухар», «швачка», «столяр» та ін. для учнів 10-13 класів спеціальних освітніх закладів ЛОР. Профорієнтаційні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проєкти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  «Хочу. Можу. Буду».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Підгірцівська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спецшкола та Бориславський НРЦ «Гармонія»; б) «Соціальне шкільне підприємництво». НРЦ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Миколая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Підкамінська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СШ І-ІІІ ст.. (у співпраці з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Фондом «Східна Європа» разом із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ChildFund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Deutschland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e.V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. за фінансової підтримки Федерального Міністерства економічного співробітництва та розвитку Німеччини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придбаного обладнання/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обладнання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88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8637EF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Пролонгація науково-педагогічного експерименту 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-соціально-культурного центру Святого Миколая. Підтримка й розгортання розробленої в НРЦ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системи корекційно-виховного впливу на розвиток особистості та реабілітацію в позаурочний час дітей шкільного віку з порушеннями психофізичного розвитку; розширення та впровадження набутого досвіду в практику інших ЗЗСО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товаріа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2B2ED3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товарів/виконано робіт/ надано послуг </w:t>
            </w:r>
            <w:r w:rsidR="002B2ED3">
              <w:rPr>
                <w:rFonts w:ascii="Times New Roman" w:hAnsi="Times New Roman" w:cs="Times New Roman"/>
                <w:sz w:val="20"/>
                <w:szCs w:val="20"/>
              </w:rPr>
              <w:t>вартістю до                 9600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тис. грн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модель корекційно-виховного впливу на розвиток особистості та реабілітацію в позаурочний час дітей шкільного віку з особливими освітніми потребами 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color w:val="1414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lastRenderedPageBreak/>
              <w:t xml:space="preserve">Послугами </w:t>
            </w:r>
            <w:proofErr w:type="spellStart"/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t>-соціально-культурного центру користуються до 80 учнів з ООП.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Посилювати спроможність закладів освіти компенсуючого типу до потреб користувачів освітніх послуг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на базі НРЦ «Гармонія»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Парку просторового орієнтування для дітей з порушеннями опорно-рухового апарату (тренажери, тенісна зона, міні-футбольне поле, зона відпочинку, зона сенсорного розвитку)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фізичний стан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«Навчально-реабілітаційний центр І-ІІ ступенів «Гармонія»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частину обладнання та виконано низку робіт зі створення Парку просторового орієнтування для дітей з порушеннями опорно-рухового апарату у НРЦ «Гармонія» 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Послугами, що їх можна отримати в парку, користуються до 100 учнів.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Забезпечується розвиток індивідуальних можливостей осіб з ОПП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Забезпечення безперешкодного доступу до закладів освіти (пандусами, ліфтами та іншими елементами архітектурної доступності)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закладів з безперешкодним доступом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один заклад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Стимулювати професійне зростання педагогічних працівників спеціальних ЗЗСО, у тому числі розвивати професійні цифрові компетентності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педагогічних конференцій, семінарів,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кркглих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стлолів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обміну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лдосвідом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роботи з дітьми з особливими освітніми потребами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витрат на учасника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Набуття досвіду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Забезпечити оздоровлення учнів (вихованців) закладів освіти обласного підпорядкування, внутрішньо переміщених дітей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оздоровлення учнів  (вихованців) закладів освіти обласного підпорядкування (діти-сироти та діти, позбавлені батьківського піклування), внутрішньо переміщених дітей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 оздоровлення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2B2ED3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оздоровлення 100% учнів  (вихованців) закладів освіти обласного підпорядкування (діти-сироти, діти, позбавлені батьківського піклування), внутрішньо переміщених дітей, які перебувають в спеціальних закладах освіти обласного підпорядкування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Створити належні умови навчання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перебування учнів у закладах освіти обласного підпорядкування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Зміцнення матеріально-технічної бази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закладів освіти обласного підпорядкування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очікуванням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Придбання шкільних автобусів для закладів освіти обласного підпорядкування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очікуванням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2524,2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Закуплено шкільні автобуси для закладів освіти обласного підпорядкування - КЗ ЛОР багатопрофільний НРЦ «Святого Миколая», КЗ</w:t>
            </w:r>
            <w:r w:rsidR="000247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ЛОР 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Жовківський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багатопрофільний  НРЦ «Злагода»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Створити дітям з особливими освітніми потребами належні умови отримання психолого-педагогічних, корекційно-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розвиткових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послуг 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-ресурсних центрах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Оновлення матеріально-технічної бази, проведення ремонтів новостворених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-ресурсних центрів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Відповідність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76C" w:rsidTr="008637EF">
        <w:trPr>
          <w:gridAfter w:val="3"/>
          <w:wAfter w:w="1695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48C6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16623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803D4C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21324,2</w:t>
            </w:r>
          </w:p>
        </w:tc>
        <w:tc>
          <w:tcPr>
            <w:tcW w:w="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ind w:left="-22" w:hanging="7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4DF4" w:rsidTr="00A44ABE">
        <w:trPr>
          <w:gridAfter w:val="1"/>
          <w:wAfter w:w="1676" w:type="dxa"/>
          <w:trHeight w:val="677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4DF4" w:rsidRDefault="00434DF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79" w:type="dxa"/>
            <w:gridSpan w:val="16"/>
            <w:tcBorders>
              <w:top w:val="nil"/>
              <w:bottom w:val="single" w:sz="4" w:space="0" w:color="auto"/>
            </w:tcBorders>
          </w:tcPr>
          <w:p w:rsidR="00434DF4" w:rsidRDefault="00434DF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Позашкільна та спеціалізована освіта</w:t>
            </w:r>
          </w:p>
          <w:p w:rsidR="00434DF4" w:rsidRDefault="00434DF4" w:rsidP="00ED550C">
            <w:pPr>
              <w:spacing w:after="0" w:line="240" w:lineRule="auto"/>
              <w:jc w:val="center"/>
            </w:pPr>
          </w:p>
        </w:tc>
      </w:tr>
      <w:tr w:rsidR="00434DF4" w:rsidTr="00A44ABE">
        <w:trPr>
          <w:gridAfter w:val="1"/>
          <w:wAfter w:w="1676" w:type="dxa"/>
        </w:trPr>
        <w:tc>
          <w:tcPr>
            <w:tcW w:w="511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34DF4" w:rsidRDefault="00434DF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79" w:type="dxa"/>
            <w:gridSpan w:val="16"/>
            <w:tcBorders>
              <w:top w:val="single" w:sz="4" w:space="0" w:color="auto"/>
              <w:bottom w:val="nil"/>
            </w:tcBorders>
          </w:tcPr>
          <w:p w:rsidR="00434DF4" w:rsidRDefault="00434DF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  <w:trHeight w:val="1878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«Львівська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на базі ЛОЦНТТУМ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яка матиме навчальні курси: операторський; сценарний; монтажу;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кольорокорекції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звукорежисерський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 мультиплікації та інші.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технічного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облпаднання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фкункціонування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Відповідність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ЛОЦНТТУМ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«Вікно в природу». Проведення заходів з оновлення еколого-освітньої виставки «Планета ЗОО» та забезпечення доступу до неї (пандус та ін.) осіб з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ООП, розвитку здібностей та обдарувань цих дітей в процесі відвідування виставки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закуплених матеріалів/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ЛОЦЕНТУМ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523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Проведення заходів Всеукраїнської дитячо-юнацької військово-патріотичної гри «Сокіл» («Джура»)  в закладах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Проведення заходів Всеукраїнської дитячо-юнацької військово-патріотичної гри «Сокіл» («Джура»)  в закладах професійної (професійно-технічної) освіти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закуплених матеріалів/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І етап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Всеукраїнської дитячо-юнацької військово-патріотичної гри «Сокіл» («Джура»)  в закладах професійної (професійно-технічної) освіти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Преміювання переможців</w:t>
            </w:r>
          </w:p>
        </w:tc>
      </w:tr>
      <w:tr w:rsidR="0013079A" w:rsidTr="00A44ABE">
        <w:trPr>
          <w:gridAfter w:val="2"/>
          <w:wAfter w:w="1682" w:type="dxa"/>
          <w:trHeight w:val="4385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Підвищити ефективність освітнього процесу через впровадження сучасних технологій та засобів навчання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«Еко STEM – лабораторія». Розширення доступу здобувачів неформальної освіти природознавчого спрямування будь-якого віку і педагогічних працівників до наукових спостережень, іншої дослідницької діяльності, організації моніторингу стану довкілля на базі укомплектованої в  ЛОЦЕНТУМ Еко STEM – лабораторії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закупленого обладнання/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бази, проведення ремонтів закладів, установ освіти обласного підпорядкування та позашкільних закладів області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закуплених меблів та  обладнання/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оновленою базою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024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0247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Закуплено обладнання/виконано робіт/надано </w:t>
            </w:r>
            <w:r w:rsidR="0002476C">
              <w:rPr>
                <w:rFonts w:ascii="Times New Roman" w:hAnsi="Times New Roman" w:cs="Times New Roman"/>
                <w:sz w:val="20"/>
                <w:szCs w:val="20"/>
              </w:rPr>
              <w:t>послуг сумарною вартістю до 2500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тис. гривень.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Підвищити ефективність освітнього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процесу через впровадження сучасних технологій та засобів навчання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Відвідування музеїв, навчальних лабораторій.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Проведення виїзних виставок, книжкових ярмарків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матеріалів/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взяли участь у заходах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ДОН ЛОДА, заклади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позашкільної освіти, відділи освіти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2476C" w:rsidTr="008637EF">
        <w:trPr>
          <w:gridAfter w:val="3"/>
          <w:wAfter w:w="1695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AF5397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803D4C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</w:t>
            </w:r>
          </w:p>
        </w:tc>
        <w:tc>
          <w:tcPr>
            <w:tcW w:w="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A44ABE">
        <w:trPr>
          <w:gridAfter w:val="1"/>
          <w:wAfter w:w="1676" w:type="dxa"/>
        </w:trPr>
        <w:tc>
          <w:tcPr>
            <w:tcW w:w="158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Професійна (професійно-технічна) та фахова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передвища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освіта</w:t>
            </w:r>
          </w:p>
          <w:p w:rsidR="006C3174" w:rsidRDefault="006C3174" w:rsidP="00ED550C">
            <w:pPr>
              <w:spacing w:after="0" w:line="240" w:lineRule="auto"/>
              <w:jc w:val="center"/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матеріально-технічної бази закладів освіти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ремонтів, придбання матеріалів та обладнання в закладах професійної              (професійно-технічної),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освіти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навчально-практичних центрів на базі закладів  освіти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НПЦ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матеріалів та обладнання</w:t>
            </w:r>
            <w:r w:rsidR="0002476C">
              <w:rPr>
                <w:rFonts w:ascii="Times New Roman" w:hAnsi="Times New Roman" w:cs="Times New Roman"/>
                <w:sz w:val="20"/>
                <w:szCs w:val="20"/>
              </w:rPr>
              <w:t>/ виконано робіт сумарно до 3500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тис грн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6E47A5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капітальний ремонт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термомодернізацію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учнівського гуртожитку КЗ ЛОР «Шептицький професійний коледж технологій та дизайну»</w:t>
            </w:r>
          </w:p>
          <w:p w:rsidR="006E47A5" w:rsidRDefault="006E47A5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капітальний ремонт обідньої зали, кухні та допоміжних приміщень Самбірського фахового коледжу економіки та інформаційних технологій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виготовлення  ПКД)</w:t>
            </w:r>
          </w:p>
          <w:p w:rsidR="006E47A5" w:rsidRDefault="006E47A5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Проаедено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термомодернізацію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фасаду будівлі учнівського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гуотожитку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ДНЗ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Новояаорівське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вище професійне училище» 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Отримали покращені освітні потреби 20 122 учні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 матеріально-технічної бази закладів освіти обласного підпорядкування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матеріально-технічної бази закладів освіти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протипожежних заходів, відеоспостереження, ремонт та облаштування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укриттів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Комплекти обладнання.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обладнанням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7350,01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Застосовувати механізм публічно-приватного партнерства в професійній  (професійно-технічній) освіті (спільне фінансування закладів освіти,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-практична підготовка)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Розвиток професійної освіти регіону. Створення центрів кваліфікації на базі закладів професійно-технічної освіти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Проходження курсів підвищення кваліфікації майстрами виробничого навчання, викладачами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створених наглядових рад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закладів з дуальною формою освіти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Участь роботодавців у роботі НР.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Оновлені освітні програми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Ефективні програми  співпраці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профосвіти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суб’єктами господарювання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76C" w:rsidTr="008637EF">
        <w:trPr>
          <w:gridAfter w:val="3"/>
          <w:wAfter w:w="1695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Залучити потенційних роботодавців до участі у підготовці кваліфікованих робітників шляхом розвитку дуальної форми освіти. Стажування майстрів виробничого навчання на підприємствах регіону 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профорієнтацію щодо дуальної освіти в ЗПТО. </w:t>
            </w:r>
          </w:p>
          <w:p w:rsidR="006C3174" w:rsidRDefault="006C3174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Навчання наставників, що беруть участь у впровадженні дуальної системи навчання </w:t>
            </w:r>
          </w:p>
          <w:p w:rsidR="006C3174" w:rsidRDefault="006C3174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конкурсів фахової майстерності серед майстрів виробничого навчання, нагородження переможців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скористались послугами  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Участь роботодавців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підгоотовці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робітників 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Зростання професійної компетентності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8A0DC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Популяризувати робітничі професії, сформувати позитивний імідж закладів професійної (професійно-технічної) освіти. Залучити бізнес до популяризації професійної освіти та робітничих професій.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і проведення профорієнтаційного Форуму професійної освіти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промоційні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відеоролики, учнівські, студентські екскурсії, виставки, друк поліграфії, реклама у ЗМІ тощо)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проведених заходів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НМЦПТО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Впорядкування та розвиток мережі закладів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освіти обласного підпорядкування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Виготовлення та приведення у відповідність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чинного законодавства документації  закладів професійної (професійно-технічної) та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Пакети установчих документів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Модернізація норм та умов праці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818,112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Виготовлено пакет документів в закладах освіти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Дослідження регіонального  ринку праці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Інструменти розвитку інституційного партнерства системи професійної освіти та бізнесу в регіоні.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К-сть проведених опитувань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 одного учасника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Аналіз тенденцій і закономірностей розвитку професійної освіти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збалансування регіонального ринку праці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К-сть проведених опитувань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на одного учасника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6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19128,01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5833,112</w:t>
            </w:r>
          </w:p>
        </w:tc>
        <w:tc>
          <w:tcPr>
            <w:tcW w:w="12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298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A44ABE">
        <w:tc>
          <w:tcPr>
            <w:tcW w:w="158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Вища освіта та наука. Педагогічна освіта</w:t>
            </w:r>
          </w:p>
          <w:p w:rsidR="006C3174" w:rsidRDefault="006C3174" w:rsidP="00ED550C">
            <w:pPr>
              <w:spacing w:after="0" w:line="240" w:lineRule="auto"/>
              <w:jc w:val="center"/>
            </w:pPr>
          </w:p>
        </w:tc>
        <w:tc>
          <w:tcPr>
            <w:tcW w:w="1676" w:type="dxa"/>
            <w:tcBorders>
              <w:top w:val="nil"/>
            </w:tcBorders>
            <w:shd w:val="clear" w:color="auto" w:fill="auto"/>
          </w:tcPr>
          <w:p w:rsidR="006C3174" w:rsidRDefault="006C3174" w:rsidP="00ED550C">
            <w:pPr>
              <w:spacing w:after="0" w:line="240" w:lineRule="auto"/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Підтримувати винахідництво та науково-дослідницьку діяльність молодих вчених та студентів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Преміювання талановитої студентської молоді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премійованого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Визнання учасниками об’єктивності оцінювання та справедливості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студентам премій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студентів області – переможців конкурсів.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Удосконалити механізми стимулювання наукової діяльності молоді шляхом переходу до грантового фінансування, підтримки творчих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Преміювання та надання грантів науковцям, викладачам Львівщини за/для дослідження, корисні регіону та Україні 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 та грантів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та гранту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Отримувачі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справедливість та об’єктивність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науковцям, викладачам  премії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Вручено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56 премій та до 20 грантів на імплементацію результатів досліджень.</w:t>
            </w:r>
          </w:p>
          <w:p w:rsidR="0013079A" w:rsidRDefault="0013079A" w:rsidP="00ED550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– 25 тис. грн;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80 тис. гривень.</w:t>
            </w:r>
          </w:p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Індекс цитувань праць учених, які отримали премії, високий.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 праці нагороджених відповідають вимогам до претендентів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педагогічних працівників нової генерації шляхом створення умов для залучення до майбутньої професійної діяльності талановитої молоді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щорічного обласного дидактико-педагогічного форуму для обміну досвідом та вироблення політики у сфері підготовки педагогічних працівників нової генерації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учасників – педагогічних та науково-педагогічних працівників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Представлено освітні інновації та досвід практичної педагогічної діяльності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учасників, які визнають цінність форуму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Дрогобицький  державний педагогічний університет імені  Івана Франка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робіт/надано послуг </w:t>
            </w:r>
          </w:p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Залучено до 500 педагогів та науково-педагогічних працівників.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Учасники ознайомлені з новітніми педагогічними практиками та досвідом колег.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Понад 80% опитаних учасників форуму відзначають актуальність тематики та високий рівень організації</w:t>
            </w:r>
          </w:p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інноваційних фундаментальних та прикладних досліджень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інноваційних фундаментальних та прикладних досліджень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учасників – педагогічних та науково-педагогічних працівників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Представлено освітні інновації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досвід практичної педагогічної діяльності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Забезпеченість потреби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Зміцнення матеріально-технічної бази закладів вищої освіти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капітального ремонту із заміною вікон та покрівлі гуртожитку №4 Національного лісотехнічного університету (наслідки ракетного удару)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Національний лісотехнічний університет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5237B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поточних ремонтів навчальних корпусів закладів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поточного ремонту навчального корпусу «А-3» ВСП Технічного фахового коледжу НУ «Львівська політехніка»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Львів, вул. М. Пимоненка,17 (наслідки ракетного удару)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 Технічний коледж НУ «Львівська політехніка»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поточних ремонтів навчально-виробничих майстерень  закладів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поточного ремонту навчального- виробничої майстерні  «А-2» ВСП Технічного фахового коледжу НУ «Львівська політехніка»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Львів, вул. М. Пимоненка,17 (наслідки ракетного удару)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 Технічний коледж НУ «Львівська політехніка»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70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A44ABE">
        <w:trPr>
          <w:gridAfter w:val="1"/>
          <w:wAfter w:w="1676" w:type="dxa"/>
        </w:trPr>
        <w:tc>
          <w:tcPr>
            <w:tcW w:w="158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  <w:p w:rsidR="006C3174" w:rsidRDefault="006C3174" w:rsidP="00ED550C">
            <w:pPr>
              <w:spacing w:after="0" w:line="240" w:lineRule="auto"/>
              <w:jc w:val="center"/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Сформувати систему моніторингу сфери освіти з метою прийняття ефективних управлінських рішень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Oреn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на базі спеціальної е-програми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бази даних про стан освіти Львівщини з можливостями для узагальнень та аналітики  (так зв.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Наповнення та інформаційна підтримка електронної карти закладів освіти Львівщини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«Електронні карти»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Обсяг витрат на байт 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Е-продукти, що відповідають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завданням та потребі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Впровадити регіональну систему е-урядування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 xml:space="preserve">Облаштування системи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трекінгу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(відстеження) руху шкільних автобусів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та інших транспортних засобів, що перебувають в користуванні освітніх закладів та установ, в реальному часі. Придбання автомобільних 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та супутнього програмного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забезпе</w:t>
            </w:r>
            <w:proofErr w:type="spellEnd"/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Впровадження централізованої електронної системи управління закладами освіти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встановлених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трекерів</w:t>
            </w:r>
            <w:proofErr w:type="spellEnd"/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автобус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523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Підтримувати ініціативи з розроблення освітніх програм та організації навчання, що забезпечують ефективну професійну підготовку керівників закладів освіти та управлінців освітньої сфери в питаннях менеджменту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сесій Освітньої академії Львівщини (вироблення освітньої політики та обмін досвідом управлінської діяльності між управлінським персоналом ЗО регіону, бізнесменами та науковцями, семінар-практикум для уповноважених осіб з питань державних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та органів управління освітою</w:t>
            </w:r>
          </w:p>
          <w:p w:rsidR="0013079A" w:rsidRPr="00463BB5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курсів підвищення  кваліфікації 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працівникам закладів освіти обласного підпорядкування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 Академії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Набуття досвіду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    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63BB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Надано послуг на суму</w:t>
            </w:r>
            <w:r w:rsidR="0002476C">
              <w:rPr>
                <w:rFonts w:ascii="Times New Roman" w:hAnsi="Times New Roman" w:cs="Times New Roman"/>
                <w:sz w:val="20"/>
                <w:szCs w:val="20"/>
              </w:rPr>
              <w:t xml:space="preserve"> 1000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тис грн.</w:t>
            </w:r>
          </w:p>
          <w:p w:rsidR="0013079A" w:rsidRPr="00463BB5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Pr="00463BB5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Проведено 7 сесій Освітньої академії Львівщини.</w:t>
            </w:r>
          </w:p>
          <w:p w:rsidR="0013079A" w:rsidRPr="00463BB5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Pr="00463BB5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Збагатили професійний досвід 580 педагогів, управлінців та уповноважених осіб з питань державних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обласного підпорядкування</w:t>
            </w:r>
          </w:p>
          <w:p w:rsidR="0013079A" w:rsidRPr="00463BB5" w:rsidRDefault="0013079A" w:rsidP="00E20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Підвищено кваліфікацію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кухарям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 закладів освіти обласного підпорядкування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навчання педагогічних працівників  області (дистанційні платформи)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навчання педагогічних працівників  області (дистанційні платформи)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користувача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дистанційного навчання (%)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основних показників освіти Львівщини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956B75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6B75">
              <w:rPr>
                <w:rFonts w:ascii="Times New Roman" w:hAnsi="Times New Roman" w:cs="Times New Roman"/>
                <w:sz w:val="20"/>
                <w:szCs w:val="20"/>
              </w:rPr>
              <w:t>Забезпечення основних показників освіти Львівщини, їх аналіз та організація освітніх ініціатив.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оніторинг та впровадження </w:t>
            </w:r>
            <w:r w:rsidRPr="00956B75">
              <w:rPr>
                <w:rFonts w:ascii="Times New Roman" w:hAnsi="Times New Roman" w:cs="Times New Roman"/>
                <w:sz w:val="20"/>
                <w:szCs w:val="20"/>
              </w:rPr>
              <w:t xml:space="preserve">інновацій, реалізація </w:t>
            </w:r>
            <w:proofErr w:type="spellStart"/>
            <w:r w:rsidRPr="00956B75"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 w:rsidRPr="00956B75">
              <w:rPr>
                <w:rFonts w:ascii="Times New Roman" w:hAnsi="Times New Roman" w:cs="Times New Roman"/>
                <w:sz w:val="20"/>
                <w:szCs w:val="20"/>
              </w:rPr>
              <w:t xml:space="preserve">, супровід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ліцензійних </w:t>
            </w:r>
            <w:r w:rsidRPr="00956B75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оцедур та здійснення фінансово-</w:t>
            </w:r>
            <w:r w:rsidRPr="00956B75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 ЦЗРО при ДОН ЛОДА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користувача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50523,486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діяльність ЦЗРО при ДОН ЛОДА</w:t>
            </w:r>
          </w:p>
        </w:tc>
      </w:tr>
      <w:tr w:rsidR="0002476C" w:rsidTr="00A44ABE">
        <w:trPr>
          <w:gridAfter w:val="2"/>
          <w:wAfter w:w="1682" w:type="dxa"/>
        </w:trPr>
        <w:tc>
          <w:tcPr>
            <w:tcW w:w="6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51523,486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76C" w:rsidRDefault="0002476C" w:rsidP="00A44ABE">
            <w:pPr>
              <w:spacing w:after="0" w:line="240" w:lineRule="auto"/>
              <w:ind w:left="-22" w:firstLine="13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A44ABE">
        <w:trPr>
          <w:gridAfter w:val="1"/>
          <w:wAfter w:w="1676" w:type="dxa"/>
        </w:trPr>
        <w:tc>
          <w:tcPr>
            <w:tcW w:w="1589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ED550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Наскрізні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проєкти</w:t>
            </w:r>
            <w:proofErr w:type="spellEnd"/>
          </w:p>
        </w:tc>
      </w:tr>
      <w:tr w:rsidR="0013079A" w:rsidRPr="00C34DAA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Побудувати систему виховання, орієнтовану на формування ідентичності дитини на цінностях української політичної нації – складової європейської цивілізації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переходу до виховання, зорієнтованого на цінності та ідентичність українця: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 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1647,5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18533,3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557E2C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Pr="00557E2C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Pr="00557E2C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557E2C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«Плекаймо характер!». Впровадження в ЗЗСО області програм формування емоційного інтелекту дитини на традиційних для українців моральних цінностях в процесі урочної, позакласної та позашкільної діяльності з використанням переважно ігрової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Навчання педагогічних працівників, розроблення методичних матеріалів, проведення обласної педагогічної конференції «Головне – характер!» (2024 р.)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ЗЗСО, в яких укладені програми формування емоційного інтелекту дитини.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обсяг розроблених методичних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педагогів, які розвинули професійні навички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ЗЗСО, де впроваджена програма (%)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виховного простору ЗЗСО, у яких діє програма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1.2. Повне комплектування навчальних кабінетів предмета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«Захист України» закладів освіти  засобами навчання та обладнанням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електронних лазерних тирів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укомплектованих кабінетів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комплектації вимогам до обладнання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18533,3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Default="0013079A" w:rsidP="00523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Стимулювати професійне зростання педагогічних працівників</w:t>
            </w: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Інфомедійна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грамотність у закладах освіти Львівщини». Проведення заходів для розвитку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медіаграмотності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педагогічних працівників та учнів: здатності аналізувати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медіаконтент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розрізняти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фейки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дезінформацію і пропаганду, стереотипи і мову ворожнечі, виявляти маніпуляції у медіа та ін.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«Профілактика емоційного вигорання вчителів». Формування  емоційної стійкості та вмотивованості до навчання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впродовж життя. Сприяння психічному процвітанню через навчання творчому мисленню, роботі в команді і т. ін., формуванню компетентності бути щасливим/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ою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Оволодіння методикою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523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Стимулювати науково-пізнавальну, пошуково-дослідницьку діяльність учасників освітнього процесу для підвищення у них мотивації до навчання, розвитку творчого і критичного мислення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розвитку творчих здібностей молоді: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 і матеріалів / виконаних робіт / 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A44ABE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Премійовано команди-переможці і учасниці конкурсів-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</w:t>
            </w:r>
            <w:r w:rsidR="00A44ABE">
              <w:rPr>
                <w:rFonts w:ascii="Times New Roman" w:hAnsi="Times New Roman" w:cs="Times New Roman"/>
                <w:sz w:val="20"/>
                <w:szCs w:val="20"/>
              </w:rPr>
              <w:t>тапів</w:t>
            </w:r>
            <w:proofErr w:type="spellEnd"/>
            <w:r w:rsidR="00A44ABE">
              <w:rPr>
                <w:rFonts w:ascii="Times New Roman" w:hAnsi="Times New Roman" w:cs="Times New Roman"/>
                <w:sz w:val="20"/>
                <w:szCs w:val="20"/>
              </w:rPr>
              <w:t xml:space="preserve">  на суму 750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тис. грн.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«Центр винахідництва та креативних індустрій». Створення на базі Львівського державного Будинку техніки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гуртків  сучасних інноваційних технологій у сфері ІТ, дизайну, фото-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гуртків та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учня/студента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 Будинок техніки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«Живи органічно!». Залучення дітей дошкільного і шкільного віку до процесу вирощування овочевих культур на базі теплиць та пришкільних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ділянок ЗДО, ЗЗСО, ЗП(ПТ)О, вивчення і дослідження дітьми процесів обробітку землі, вирощування рослин, приготування їжі тощо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ЛОЦЕНТУМ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«Сходинки професійного зростання». Забезпечення профільного навчання та допрофесійної підготовки учнів закладів загальної середньої та позашкільної освіти в галузі лісівництва на базі «кабінетів лісу», створених за підтримки управління лісового господарства Львівської ОДА та лісгоспів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ABE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«Мобільна лабораторія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LabInno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і функціонування технологічної лабораторії, де учні зможуть розробляти і виготовляти зразки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інноваційної продукції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«ЛОМАН»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76C" w:rsidTr="008637EF">
        <w:trPr>
          <w:gridAfter w:val="3"/>
          <w:wAfter w:w="1695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 Сприяння</w:t>
            </w:r>
          </w:p>
          <w:p w:rsidR="006C3174" w:rsidRDefault="006C3174" w:rsidP="00ED5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учням-винахідникам, які навчаються в ЗЗСО, ЗПТО та коледжах, у розвитку вмінь створювати власні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стартап-проєкти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подавати їх на участь у конкурсі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преміювання команд-переможців та учасників конкурсів-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надання грантової підтримки. Найкращі команди отримають індивідуальну менторську підтримку від партнерів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3174" w:rsidRDefault="006C3174" w:rsidP="00ED5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ЛОДА, ТГ,            НУ  Львівська політехніка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AF5397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4C5591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Премійовано команди-переможці і учасниці конкурсів-</w:t>
            </w:r>
            <w:proofErr w:type="spellStart"/>
            <w:r w:rsidR="00FD4BCF"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 w:rsidR="00FD4BC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Навчання учнів/студентів -винахідників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3174" w:rsidRDefault="006C3174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80% опитаних учнів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розвиток вмінь створювати власні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стартап-проєкти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вміють подавати їх на участь у конкурсі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Підтримувати та поширювати позитивні приклади використання цифрових технологій та віддаленого навчання для різних категорій здобувачів освіти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цифровізації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освітнього простору, дистанційне і змішане навчання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A44ABE">
            <w:pPr>
              <w:spacing w:after="0" w:line="240" w:lineRule="auto"/>
              <w:ind w:left="-24" w:firstLine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4.1. Створення умов для впровадження, підтримки дистанційної платформи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у ЗЗСО області</w:t>
            </w:r>
          </w:p>
          <w:p w:rsidR="0013079A" w:rsidRPr="00251C88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079A" w:rsidRPr="00251C88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К-ть ЗО, які встановили платформу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К-ть педпрацівників, які розмістили навчальні курси на </w:t>
            </w:r>
            <w:r w:rsidRPr="00251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дистанційній платформі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одну школу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Pr="00251C88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Відповідність платформи потребам школи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Самбірський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фпахови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коледж економіки та інформаційних технологій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79A" w:rsidRPr="00251C88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Pr="00443855" w:rsidRDefault="0013079A" w:rsidP="005237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Створення нового цифрового продукту для учнів, студентів, педагогічних і науково-педагогічних працівників (проста візуалізація, цікавий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наратив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цікава та «молодіжна» мова) про ефективне навчання, права людини, толерантність та психологічну підтримку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створених продуктів (у байтах)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продукт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ЦІОТ НУ Львівська політехніка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психологів та соціальних працівників закладів освіти (дошкільної, загальної середньої, професійно-технічної,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вищої) в умовах дистанційного та змішаного навчання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здобувача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 «ЛОІППО»</w:t>
            </w: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«Міжнародна психологічна асоціація проективних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5.</w:t>
            </w:r>
          </w:p>
        </w:tc>
        <w:tc>
          <w:tcPr>
            <w:tcW w:w="14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Позиціонувати бренд освіти Львівщини в національному інформаційному просторі, популяризувати освітній потенціал Львівщини за межами регіону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Формування українського освітнього простору в країнах діаспори: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техніки/виконано  робіт/надан</w:t>
            </w:r>
            <w:r w:rsidR="00A44ABE">
              <w:rPr>
                <w:rFonts w:ascii="Times New Roman" w:hAnsi="Times New Roman" w:cs="Times New Roman"/>
                <w:sz w:val="20"/>
                <w:szCs w:val="20"/>
              </w:rPr>
              <w:t>о послуг сумарною вартістю  1250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тис. гривень</w:t>
            </w:r>
          </w:p>
        </w:tc>
      </w:tr>
      <w:tr w:rsidR="00A44ABE" w:rsidTr="008637EF">
        <w:trPr>
          <w:gridAfter w:val="3"/>
          <w:wAfter w:w="1695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  Портал «Український освітній всесвіт». Інтерактивна карта та форум українознавчих освітніх закладів за кордоном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Портал, що відповідає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завданню</w:t>
            </w:r>
          </w:p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користувачів</w:t>
            </w:r>
          </w:p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порталу вимогам та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інтерактивну карту та форум українознавчих освітніх закладів за кордоном.</w:t>
            </w:r>
          </w:p>
          <w:p w:rsidR="00A44ABE" w:rsidRDefault="00A44ABE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 мережу комунікації між освітянами зі 100 українознавчих шкіл  з 36 країн світу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“Крок до України”.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освітнього порталу для навчання української мови як іноземної. Забезпечення учнів українських суботніх та недільних шкіл за кордоном, студентів українознавчих студій за кордоном та студентів-іноземців в Україні сучасними навчальними матеріалами для самостійного вивчення української мови як іноземної (УМІ), учителів суботніх та недільних шкіл - сучасними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методичними розробками та навчальними ресурсами, доступними в режимі онлайн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учня/студента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5.3.  Заходи з підтримки української мови, в т. ч. VІІ Міжнародна науково-практична конференція «Українська мова у світі» 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Доповіді та виступи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професійний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5.4.Регіональний науково-практичний експеримент «Впровадження структурно-функціональної моделі забезпечення комплексної підтримки україномовної освіти за кордоном», розрахований на  2020–2030 роки: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-організація навчання для українців-емігрантів, які проживають за кордоном, на базі українських шкіл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екстернатною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дистанційними формами навчання;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розроблення програм та навчальних і культурно-просвітницьких матеріалів для шкіл різного типу, що функціонують у середовищі українських емігрантів, з урахуванням їхніх потреб;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підготовка (навчання) педагогів для навчання українських емігрантів (дітей та дорослих) українознавчих предметів;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-підвищення кваліфікації педагогів україномовних шкіл;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- форум недільних та суботніх шкіл, які працюють в українській діаспорі за кордоном.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Модель комплексної підтримки україномовної освіти за кордоном.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Програми і матеріали для шкіл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викладання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Навчання для українців-емігрантів, які проживають за кордоном, на базі українських шкіл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екстернатною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дистанційними формами навчання.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Розроблення програм та навчальних і культурно-просвітницьких матеріалів для шкіл різного типу, що функціонують у середовищі українських емігрантів, з урахуванням їхніх потреб.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(навчання) педагогів для навчання українських емігрантів (дітей та дорослих) українознавчих предметів. Підвищення кваліфікації педагогів україномовних шкіл.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Форум недільних та суботніх шкіл, які працюють в українській діаспорі за кордоном.</w:t>
            </w:r>
          </w:p>
        </w:tc>
      </w:tr>
      <w:tr w:rsidR="0013079A" w:rsidTr="00A44ABE">
        <w:trPr>
          <w:gridAfter w:val="2"/>
          <w:wAfter w:w="1682" w:type="dxa"/>
          <w:trHeight w:val="33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Створити дітям шкільного віку та учнівській молоді з території активних бойових дій належні умови перебування у закладах освіти обласного підпорядкування</w:t>
            </w: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Забезпечити умови для змістовного дозвілля дітей шкільного віку та учнівської молоді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учнів, які отримали послуги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на одного учня 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  <w:trHeight w:val="33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 створення наукових праць, розвиток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меценацтва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підприємництва, державності, культури </w:t>
            </w:r>
          </w:p>
          <w:p w:rsidR="0013079A" w:rsidRDefault="0013079A" w:rsidP="00ED550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Нагородження обласною премією імені Митрополита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Андрея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Шептицького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нагороджених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премій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</w:t>
            </w:r>
            <w:r w:rsidR="00E60D59">
              <w:rPr>
                <w:rFonts w:ascii="Times New Roman" w:hAnsi="Times New Roman" w:cs="Times New Roman"/>
                <w:sz w:val="20"/>
                <w:szCs w:val="20"/>
              </w:rPr>
              <w:t>артість однієї премії –      250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тис грн.</w:t>
            </w:r>
          </w:p>
          <w:p w:rsidR="0013079A" w:rsidRDefault="0013079A" w:rsidP="00ED55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– переможців конкурсу</w:t>
            </w:r>
          </w:p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  <w:trHeight w:val="33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обдаровану учнівську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иолодь</w:t>
            </w:r>
            <w:proofErr w:type="spellEnd"/>
          </w:p>
        </w:tc>
        <w:tc>
          <w:tcPr>
            <w:tcW w:w="1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грангнтів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навчання для переможців міжнародних олімпіад  учнів Львівщини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нагороджених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гранти для учнів переможців міжнародних олімпіад</w:t>
            </w:r>
          </w:p>
        </w:tc>
      </w:tr>
      <w:tr w:rsidR="0013079A" w:rsidTr="00A44ABE">
        <w:trPr>
          <w:gridAfter w:val="2"/>
          <w:wAfter w:w="1682" w:type="dxa"/>
        </w:trPr>
        <w:tc>
          <w:tcPr>
            <w:tcW w:w="6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Загалом коштів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</w:t>
            </w:r>
          </w:p>
        </w:tc>
        <w:tc>
          <w:tcPr>
            <w:tcW w:w="12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298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079A" w:rsidTr="00A44ABE">
        <w:trPr>
          <w:gridAfter w:val="2"/>
          <w:wAfter w:w="1682" w:type="dxa"/>
        </w:trPr>
        <w:tc>
          <w:tcPr>
            <w:tcW w:w="65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Усього за наявними позиціями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87555,8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61755,436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34102,112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93985,086</w:t>
            </w:r>
          </w:p>
        </w:tc>
        <w:tc>
          <w:tcPr>
            <w:tcW w:w="29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79A" w:rsidRDefault="0013079A" w:rsidP="00ED550C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34AC" w:rsidRDefault="003404F6" w:rsidP="00AF5397">
      <w:pPr>
        <w:tabs>
          <w:tab w:val="left" w:pos="1148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вказується кожне джерело окремо.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цілі, заходи, показники вказуються на кожен рік програми.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_______________________________________________________________________</w:t>
      </w:r>
      <w:r w:rsidR="00D42A17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8834AC" w:rsidSect="00726CAB">
      <w:headerReference w:type="default" r:id="rId8"/>
      <w:pgSz w:w="16838" w:h="11906" w:orient="landscape" w:code="9"/>
      <w:pgMar w:top="1418" w:right="851" w:bottom="851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964" w:rsidRDefault="002F2964">
      <w:pPr>
        <w:spacing w:after="0" w:line="240" w:lineRule="auto"/>
      </w:pPr>
      <w:r>
        <w:separator/>
      </w:r>
    </w:p>
  </w:endnote>
  <w:endnote w:type="continuationSeparator" w:id="0">
    <w:p w:rsidR="002F2964" w:rsidRDefault="002F2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964" w:rsidRDefault="002F2964">
      <w:pPr>
        <w:spacing w:after="0" w:line="240" w:lineRule="auto"/>
      </w:pPr>
      <w:r>
        <w:separator/>
      </w:r>
    </w:p>
  </w:footnote>
  <w:footnote w:type="continuationSeparator" w:id="0">
    <w:p w:rsidR="002F2964" w:rsidRDefault="002F29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7EF" w:rsidRDefault="008637E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eastAsia="Calibri"/>
        <w:color w:val="000000"/>
      </w:rPr>
      <w:t xml:space="preserve">                                                                                                           </w:t>
    </w: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E202CE">
      <w:rPr>
        <w:rFonts w:ascii="Times New Roman" w:hAnsi="Times New Roman" w:cs="Times New Roman"/>
        <w:noProof/>
        <w:color w:val="000000"/>
      </w:rPr>
      <w:t>38</w:t>
    </w:r>
    <w:r>
      <w:rPr>
        <w:rFonts w:ascii="Times New Roman" w:hAnsi="Times New Roman" w:cs="Times New Roman"/>
        <w:color w:val="000000"/>
      </w:rPr>
      <w:fldChar w:fldCharType="end"/>
    </w:r>
    <w:r>
      <w:rPr>
        <w:rFonts w:ascii="Times New Roman" w:hAnsi="Times New Roman" w:cs="Times New Roman"/>
        <w:color w:val="000000"/>
      </w:rPr>
      <w:t xml:space="preserve">                                                       Продовження додатка 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AC"/>
    <w:rsid w:val="00000D00"/>
    <w:rsid w:val="00021827"/>
    <w:rsid w:val="00021836"/>
    <w:rsid w:val="0002476C"/>
    <w:rsid w:val="00031458"/>
    <w:rsid w:val="00031EC6"/>
    <w:rsid w:val="00054E68"/>
    <w:rsid w:val="00072466"/>
    <w:rsid w:val="000A5B42"/>
    <w:rsid w:val="000A6E15"/>
    <w:rsid w:val="000C7324"/>
    <w:rsid w:val="000E27AF"/>
    <w:rsid w:val="00110B92"/>
    <w:rsid w:val="0013079A"/>
    <w:rsid w:val="00135189"/>
    <w:rsid w:val="00150D26"/>
    <w:rsid w:val="0016148F"/>
    <w:rsid w:val="001706CD"/>
    <w:rsid w:val="001A0ACE"/>
    <w:rsid w:val="001B0A42"/>
    <w:rsid w:val="001B622C"/>
    <w:rsid w:val="001C46DD"/>
    <w:rsid w:val="001C6504"/>
    <w:rsid w:val="00210F50"/>
    <w:rsid w:val="002276EE"/>
    <w:rsid w:val="00251C88"/>
    <w:rsid w:val="00251CA0"/>
    <w:rsid w:val="00257309"/>
    <w:rsid w:val="0027171F"/>
    <w:rsid w:val="002A7AA9"/>
    <w:rsid w:val="002B002F"/>
    <w:rsid w:val="002B2ED3"/>
    <w:rsid w:val="002C6920"/>
    <w:rsid w:val="002D48C6"/>
    <w:rsid w:val="002D7BA3"/>
    <w:rsid w:val="002E7982"/>
    <w:rsid w:val="002F2964"/>
    <w:rsid w:val="00311802"/>
    <w:rsid w:val="0032597D"/>
    <w:rsid w:val="003404F6"/>
    <w:rsid w:val="00354B28"/>
    <w:rsid w:val="00372CE2"/>
    <w:rsid w:val="003A3A31"/>
    <w:rsid w:val="003B10D2"/>
    <w:rsid w:val="003B47DD"/>
    <w:rsid w:val="003E17F8"/>
    <w:rsid w:val="003F7FA1"/>
    <w:rsid w:val="00414C09"/>
    <w:rsid w:val="004167A2"/>
    <w:rsid w:val="00416B76"/>
    <w:rsid w:val="00434DF4"/>
    <w:rsid w:val="00443855"/>
    <w:rsid w:val="00454060"/>
    <w:rsid w:val="00463BB5"/>
    <w:rsid w:val="004843E1"/>
    <w:rsid w:val="00485C55"/>
    <w:rsid w:val="00487C70"/>
    <w:rsid w:val="004C397A"/>
    <w:rsid w:val="004C5591"/>
    <w:rsid w:val="005237B4"/>
    <w:rsid w:val="00524CF6"/>
    <w:rsid w:val="00547EB5"/>
    <w:rsid w:val="00557E2C"/>
    <w:rsid w:val="0058523B"/>
    <w:rsid w:val="00586316"/>
    <w:rsid w:val="006151FC"/>
    <w:rsid w:val="00631793"/>
    <w:rsid w:val="00641DA9"/>
    <w:rsid w:val="00645A67"/>
    <w:rsid w:val="0066613D"/>
    <w:rsid w:val="0069225F"/>
    <w:rsid w:val="00694CA2"/>
    <w:rsid w:val="006A1F60"/>
    <w:rsid w:val="006C2F42"/>
    <w:rsid w:val="006C3174"/>
    <w:rsid w:val="006D1A3B"/>
    <w:rsid w:val="006E47A5"/>
    <w:rsid w:val="006F3498"/>
    <w:rsid w:val="00726CAB"/>
    <w:rsid w:val="00771636"/>
    <w:rsid w:val="007C2E88"/>
    <w:rsid w:val="007D5DF9"/>
    <w:rsid w:val="00803D4C"/>
    <w:rsid w:val="00817744"/>
    <w:rsid w:val="00823A5A"/>
    <w:rsid w:val="008637EF"/>
    <w:rsid w:val="008834AC"/>
    <w:rsid w:val="008854A5"/>
    <w:rsid w:val="008A0DCA"/>
    <w:rsid w:val="008C1B47"/>
    <w:rsid w:val="00910DB2"/>
    <w:rsid w:val="00910F70"/>
    <w:rsid w:val="00930845"/>
    <w:rsid w:val="00956B75"/>
    <w:rsid w:val="00994BE0"/>
    <w:rsid w:val="009E2441"/>
    <w:rsid w:val="00A34FF8"/>
    <w:rsid w:val="00A44ABE"/>
    <w:rsid w:val="00A57EBE"/>
    <w:rsid w:val="00A76123"/>
    <w:rsid w:val="00A90C92"/>
    <w:rsid w:val="00AF23E7"/>
    <w:rsid w:val="00AF5397"/>
    <w:rsid w:val="00B84CF3"/>
    <w:rsid w:val="00B9198F"/>
    <w:rsid w:val="00BA2D41"/>
    <w:rsid w:val="00C34DAA"/>
    <w:rsid w:val="00C52896"/>
    <w:rsid w:val="00C70E46"/>
    <w:rsid w:val="00C92602"/>
    <w:rsid w:val="00CB14D9"/>
    <w:rsid w:val="00CD083A"/>
    <w:rsid w:val="00CD16FA"/>
    <w:rsid w:val="00CE63AD"/>
    <w:rsid w:val="00CF02EC"/>
    <w:rsid w:val="00D164FD"/>
    <w:rsid w:val="00D42A17"/>
    <w:rsid w:val="00D81E66"/>
    <w:rsid w:val="00D9694C"/>
    <w:rsid w:val="00DB2A18"/>
    <w:rsid w:val="00DB37E5"/>
    <w:rsid w:val="00DD465D"/>
    <w:rsid w:val="00E076D4"/>
    <w:rsid w:val="00E202CE"/>
    <w:rsid w:val="00E203FB"/>
    <w:rsid w:val="00E571BE"/>
    <w:rsid w:val="00E60D59"/>
    <w:rsid w:val="00EA6504"/>
    <w:rsid w:val="00ED550C"/>
    <w:rsid w:val="00F23ED4"/>
    <w:rsid w:val="00F404EF"/>
    <w:rsid w:val="00F6504A"/>
    <w:rsid w:val="00F719A6"/>
    <w:rsid w:val="00F829B8"/>
    <w:rsid w:val="00F909B3"/>
    <w:rsid w:val="00F97D9D"/>
    <w:rsid w:val="00FC45AB"/>
    <w:rsid w:val="00FD4BCF"/>
    <w:rsid w:val="00FE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B8689"/>
  <w15:docId w15:val="{113720A1-4289-42DB-9792-2D8315C1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ED9"/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rsid w:val="001C5ED9"/>
    <w:pPr>
      <w:keepNext/>
      <w:keepLines/>
      <w:spacing w:before="480" w:after="120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1C5ED9"/>
    <w:pPr>
      <w:keepNext/>
      <w:keepLines/>
      <w:spacing w:before="360" w:after="80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1C5ED9"/>
    <w:pPr>
      <w:keepNext/>
      <w:keepLines/>
      <w:spacing w:before="280" w:after="80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1C5ED9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next w:val="a"/>
    <w:link w:val="50"/>
    <w:qFormat/>
    <w:rsid w:val="001C5ED9"/>
    <w:pPr>
      <w:keepNext/>
      <w:keepLines/>
      <w:spacing w:before="220" w:after="40"/>
      <w:outlineLvl w:val="4"/>
    </w:pPr>
    <w:rPr>
      <w:b/>
      <w:bCs/>
      <w:lang w:eastAsia="ru-RU"/>
    </w:rPr>
  </w:style>
  <w:style w:type="paragraph" w:styleId="6">
    <w:name w:val="heading 6"/>
    <w:basedOn w:val="a"/>
    <w:next w:val="a"/>
    <w:link w:val="60"/>
    <w:qFormat/>
    <w:rsid w:val="001C5ED9"/>
    <w:pPr>
      <w:keepNext/>
      <w:keepLines/>
      <w:spacing w:before="200" w:after="40"/>
      <w:outlineLvl w:val="5"/>
    </w:pPr>
    <w:rPr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C5ED9"/>
    <w:pPr>
      <w:keepNext/>
      <w:keepLines/>
      <w:spacing w:before="480" w:after="120"/>
    </w:pPr>
    <w:rPr>
      <w:b/>
      <w:bCs/>
      <w:sz w:val="72"/>
      <w:szCs w:val="72"/>
      <w:lang w:eastAsia="ru-RU"/>
    </w:rPr>
  </w:style>
  <w:style w:type="character" w:customStyle="1" w:styleId="10">
    <w:name w:val="Заголовок 1 Знак"/>
    <w:link w:val="1"/>
    <w:locked/>
    <w:rsid w:val="001C5ED9"/>
    <w:rPr>
      <w:rFonts w:ascii="Calibri" w:hAnsi="Calibri" w:cs="Calibri"/>
      <w:b/>
      <w:bCs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1C5ED9"/>
    <w:rPr>
      <w:rFonts w:ascii="Calibri" w:hAnsi="Calibri" w:cs="Calibri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locked/>
    <w:rsid w:val="001C5ED9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locked/>
    <w:rsid w:val="001C5ED9"/>
    <w:rPr>
      <w:rFonts w:ascii="Times New Roman" w:hAnsi="Times New Roman" w:cs="Times New Roman"/>
      <w:b/>
      <w:bCs/>
      <w:sz w:val="24"/>
      <w:szCs w:val="24"/>
      <w:lang w:val="x-none" w:eastAsia="uk-UA"/>
    </w:rPr>
  </w:style>
  <w:style w:type="character" w:customStyle="1" w:styleId="50">
    <w:name w:val="Заголовок 5 Знак"/>
    <w:link w:val="5"/>
    <w:locked/>
    <w:rsid w:val="001C5ED9"/>
    <w:rPr>
      <w:rFonts w:ascii="Calibri" w:hAnsi="Calibri" w:cs="Calibri"/>
      <w:b/>
      <w:bCs/>
      <w:lang w:val="x-none" w:eastAsia="ru-RU"/>
    </w:rPr>
  </w:style>
  <w:style w:type="character" w:customStyle="1" w:styleId="60">
    <w:name w:val="Заголовок 6 Знак"/>
    <w:link w:val="6"/>
    <w:locked/>
    <w:rsid w:val="001C5ED9"/>
    <w:rPr>
      <w:rFonts w:ascii="Calibri" w:hAnsi="Calibri" w:cs="Calibri"/>
      <w:b/>
      <w:bCs/>
      <w:sz w:val="20"/>
      <w:szCs w:val="20"/>
      <w:lang w:val="x-none" w:eastAsia="ru-RU"/>
    </w:rPr>
  </w:style>
  <w:style w:type="table" w:customStyle="1" w:styleId="TableNormal1">
    <w:name w:val="Table Normal1"/>
    <w:rsid w:val="001C5ED9"/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 Знак"/>
    <w:link w:val="a3"/>
    <w:locked/>
    <w:rsid w:val="001C5ED9"/>
    <w:rPr>
      <w:rFonts w:ascii="Calibri" w:hAnsi="Calibri" w:cs="Calibri"/>
      <w:b/>
      <w:bCs/>
      <w:sz w:val="72"/>
      <w:szCs w:val="72"/>
      <w:lang w:val="x-none" w:eastAsia="ru-RU"/>
    </w:rPr>
  </w:style>
  <w:style w:type="paragraph" w:styleId="a5">
    <w:name w:val="header"/>
    <w:basedOn w:val="a"/>
    <w:link w:val="a6"/>
    <w:uiPriority w:val="99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6">
    <w:name w:val="Верхній колонтитул Знак"/>
    <w:link w:val="a5"/>
    <w:uiPriority w:val="99"/>
    <w:locked/>
    <w:rsid w:val="001C5ED9"/>
    <w:rPr>
      <w:rFonts w:ascii="Calibri" w:hAnsi="Calibri" w:cs="Calibri"/>
      <w:lang w:val="x-none" w:eastAsia="ru-RU"/>
    </w:rPr>
  </w:style>
  <w:style w:type="paragraph" w:styleId="a7">
    <w:name w:val="footer"/>
    <w:basedOn w:val="a"/>
    <w:link w:val="a8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8">
    <w:name w:val="Нижній колонтитул Знак"/>
    <w:link w:val="a7"/>
    <w:locked/>
    <w:rsid w:val="001C5ED9"/>
    <w:rPr>
      <w:rFonts w:ascii="Calibri" w:hAnsi="Calibri" w:cs="Calibri"/>
      <w:lang w:val="x-none" w:eastAsia="ru-RU"/>
    </w:rPr>
  </w:style>
  <w:style w:type="character" w:styleId="a9">
    <w:name w:val="Hyperlink"/>
    <w:rsid w:val="001C5ED9"/>
    <w:rPr>
      <w:rFonts w:cs="Times New Roman"/>
      <w:color w:val="auto"/>
      <w:u w:val="single"/>
    </w:rPr>
  </w:style>
  <w:style w:type="paragraph" w:customStyle="1" w:styleId="11">
    <w:name w:val="Абзац списку1"/>
    <w:aliases w:val="List Paragraph1,Left Bullet L1,Bullet Points,Liste Paragraf,Numbered Standard,Bullet Styles para,Heading 2_sj,Numbered Para 1,Dot pt,No Spacing1,List Paragraph Char Char Char,Indicator Text,Bullet 1,MAIN CONTENT,List Paragraph11"/>
    <w:basedOn w:val="a"/>
    <w:link w:val="ListParagraphChar"/>
    <w:rsid w:val="001C5ED9"/>
    <w:pPr>
      <w:ind w:left="720"/>
    </w:pPr>
    <w:rPr>
      <w:rFonts w:cs="Times New Roman"/>
      <w:sz w:val="20"/>
      <w:szCs w:val="20"/>
      <w:lang w:eastAsia="ru-RU"/>
    </w:rPr>
  </w:style>
  <w:style w:type="character" w:customStyle="1" w:styleId="21">
    <w:name w:val="Основний текст (2)_"/>
    <w:link w:val="22"/>
    <w:locked/>
    <w:rsid w:val="001C5ED9"/>
    <w:rPr>
      <w:sz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C5ED9"/>
    <w:pPr>
      <w:widowControl w:val="0"/>
      <w:shd w:val="clear" w:color="auto" w:fill="FFFFFF"/>
      <w:spacing w:before="360" w:after="120" w:line="350" w:lineRule="exact"/>
      <w:ind w:hanging="360"/>
      <w:jc w:val="center"/>
    </w:pPr>
    <w:rPr>
      <w:rFonts w:cs="Times New Roman"/>
      <w:sz w:val="28"/>
      <w:szCs w:val="28"/>
      <w:lang w:eastAsia="uk-UA"/>
    </w:rPr>
  </w:style>
  <w:style w:type="character" w:styleId="aa">
    <w:name w:val="Emphasis"/>
    <w:qFormat/>
    <w:rsid w:val="001C5ED9"/>
    <w:rPr>
      <w:rFonts w:cs="Times New Roman"/>
      <w:i/>
      <w:iCs/>
    </w:rPr>
  </w:style>
  <w:style w:type="paragraph" w:customStyle="1" w:styleId="docdata">
    <w:name w:val="docdata"/>
    <w:aliases w:val="docy,v5,14228,baiaagaaboqcaaadyjuaaaxynq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b">
    <w:name w:val="Normal (Web)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c">
    <w:name w:val="Strong"/>
    <w:qFormat/>
    <w:rsid w:val="001C5ED9"/>
    <w:rPr>
      <w:rFonts w:cs="Times New Roman"/>
      <w:b/>
      <w:bCs/>
    </w:rPr>
  </w:style>
  <w:style w:type="paragraph" w:customStyle="1" w:styleId="rvps2">
    <w:name w:val="rvps2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C5ED9"/>
    <w:rPr>
      <w:rFonts w:cs="Times New Roman"/>
    </w:rPr>
  </w:style>
  <w:style w:type="character" w:customStyle="1" w:styleId="1825">
    <w:name w:val="1825"/>
    <w:aliases w:val="baiaagaaboqcaaadwguaaav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832">
    <w:name w:val="1832"/>
    <w:aliases w:val="baiaagaaboqcaaadyquaaavv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customStyle="1" w:styleId="12">
    <w:name w:val="Абзац списку1"/>
    <w:basedOn w:val="a"/>
    <w:rsid w:val="001C5ED9"/>
    <w:pPr>
      <w:spacing w:after="0" w:line="276" w:lineRule="auto"/>
      <w:ind w:left="720"/>
    </w:pPr>
    <w:rPr>
      <w:rFonts w:eastAsia="Calibri"/>
      <w:lang w:eastAsia="ru-RU"/>
    </w:rPr>
  </w:style>
  <w:style w:type="character" w:customStyle="1" w:styleId="1863">
    <w:name w:val="1863"/>
    <w:aliases w:val="baiaagaaboqcaaadgauaaaw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82">
    <w:name w:val="9082"/>
    <w:aliases w:val="baiaagaabrwdaaaduh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40">
    <w:name w:val="9040"/>
    <w:aliases w:val="baiaagaabrwdaaadkb8aaawe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108">
    <w:name w:val="9108"/>
    <w:aliases w:val="baiaagaabrwdaaad1b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0880">
    <w:name w:val="10880"/>
    <w:aliases w:val="baiaagaabrwdaaadwr8aaaxojg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955">
    <w:name w:val="8955"/>
    <w:aliases w:val="baiaagaabrwdaaadox8aaavj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618">
    <w:name w:val="8618"/>
    <w:aliases w:val="baiaagaabrwdaaad4x8aaaxx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097">
    <w:name w:val="11097"/>
    <w:aliases w:val="baiaagaabrwdaaadsh8aaawnjw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270">
    <w:name w:val="11270"/>
    <w:aliases w:val="baiaagaabrwdaaad9x8aaavu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302">
    <w:name w:val="11302"/>
    <w:aliases w:val="baiaagaabrwdaaadfyaaaav0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425">
    <w:name w:val="8425"/>
    <w:aliases w:val="baiaagaabrwdaaadih8aaauw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styleId="ad">
    <w:name w:val="Subtitle"/>
    <w:basedOn w:val="a"/>
    <w:next w:val="a"/>
    <w:link w:val="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e">
    <w:name w:val="Підзаголовок Знак"/>
    <w:link w:val="ad"/>
    <w:locked/>
    <w:rsid w:val="001C5ED9"/>
    <w:rPr>
      <w:rFonts w:ascii="Georgia" w:hAnsi="Georgia" w:cs="Georgia"/>
      <w:i/>
      <w:iCs/>
      <w:color w:val="666666"/>
      <w:sz w:val="48"/>
      <w:szCs w:val="48"/>
      <w:lang w:val="x-none" w:eastAsia="ru-RU"/>
    </w:rPr>
  </w:style>
  <w:style w:type="paragraph" w:styleId="af">
    <w:name w:val="Balloon Text"/>
    <w:basedOn w:val="a"/>
    <w:link w:val="af0"/>
    <w:semiHidden/>
    <w:rsid w:val="001C5ED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0">
    <w:name w:val="Текст у виносці Знак"/>
    <w:link w:val="af"/>
    <w:semiHidden/>
    <w:locked/>
    <w:rsid w:val="001C5ED9"/>
    <w:rPr>
      <w:rFonts w:ascii="Tahoma" w:hAnsi="Tahoma" w:cs="Tahoma"/>
      <w:sz w:val="16"/>
      <w:szCs w:val="16"/>
      <w:lang w:val="x-none" w:eastAsia="ru-RU"/>
    </w:rPr>
  </w:style>
  <w:style w:type="paragraph" w:customStyle="1" w:styleId="13">
    <w:name w:val="Без інтервалів1"/>
    <w:rsid w:val="001C5ED9"/>
    <w:rPr>
      <w:rFonts w:eastAsia="Times New Roman"/>
      <w:lang w:eastAsia="ru-RU"/>
    </w:rPr>
  </w:style>
  <w:style w:type="character" w:customStyle="1" w:styleId="1569">
    <w:name w:val="1569"/>
    <w:aliases w:val="baiaagaaboqcaaadwgqaaavoba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2100">
    <w:name w:val="2100"/>
    <w:aliases w:val="baiaagaaboqcaaadbqyaaav7bg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ListParagraphChar">
    <w:name w:val="List Paragraph Char"/>
    <w:aliases w:val="List Paragraph1 Char,Left Bullet L1 Char,Bullet Points Char,Liste Paragraf Char,Numbered Standard Char,Bullet Styles para Char,Heading 2_sj Char,Numbered Para 1 Char,Dot pt Char,No Spacing1 Char,List Paragraph Char Char Char Char"/>
    <w:link w:val="11"/>
    <w:locked/>
    <w:rsid w:val="001C5ED9"/>
    <w:rPr>
      <w:rFonts w:ascii="Calibri" w:hAnsi="Calibri"/>
      <w:lang w:val="x-none" w:eastAsia="ru-RU"/>
    </w:rPr>
  </w:style>
  <w:style w:type="paragraph" w:customStyle="1" w:styleId="1685">
    <w:name w:val="1685"/>
    <w:aliases w:val="baiaagaaboqcaaadzgqaaaxc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53">
    <w:name w:val="1753"/>
    <w:aliases w:val="baiaagaaboqcaaadegu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167">
    <w:name w:val="2167"/>
    <w:aliases w:val="baiaagaaboqcaaadcwqaaawb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542">
    <w:name w:val="2542"/>
    <w:aliases w:val="baiaagaaboqcaaadjwgaaau1c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383">
    <w:name w:val="2383"/>
    <w:aliases w:val="baiaagaaboqcaaad+wqaaauj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48">
    <w:name w:val="1748"/>
    <w:aliases w:val="baiaagaaboqcaaadvqqaaaxl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943">
    <w:name w:val="1943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629">
    <w:name w:val="1629"/>
    <w:aliases w:val="baiaagaaboqcaaadrgqaaavu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83">
    <w:name w:val="1883"/>
    <w:aliases w:val="baiaagaaboqcaaadrauaaavs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07">
    <w:name w:val="1807"/>
    <w:aliases w:val="baiaagaaboqcaaad+aq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f1">
    <w:name w:val="footnote text"/>
    <w:basedOn w:val="a"/>
    <w:link w:val="af2"/>
    <w:semiHidden/>
    <w:rsid w:val="001C5ED9"/>
    <w:pPr>
      <w:suppressAutoHyphens/>
      <w:spacing w:after="0" w:line="240" w:lineRule="auto"/>
    </w:pPr>
    <w:rPr>
      <w:kern w:val="1"/>
      <w:sz w:val="20"/>
      <w:szCs w:val="20"/>
      <w:lang w:eastAsia="uk-UA"/>
    </w:rPr>
  </w:style>
  <w:style w:type="character" w:customStyle="1" w:styleId="af2">
    <w:name w:val="Текст виноски Знак"/>
    <w:link w:val="af1"/>
    <w:semiHidden/>
    <w:locked/>
    <w:rsid w:val="001C5ED9"/>
    <w:rPr>
      <w:rFonts w:ascii="Calibri" w:hAnsi="Calibri" w:cs="Calibri"/>
      <w:kern w:val="1"/>
      <w:sz w:val="20"/>
      <w:szCs w:val="20"/>
      <w:lang w:val="x-none" w:eastAsia="uk-UA"/>
    </w:rPr>
  </w:style>
  <w:style w:type="character" w:styleId="af3">
    <w:name w:val="footnote reference"/>
    <w:semiHidden/>
    <w:rsid w:val="001C5ED9"/>
    <w:rPr>
      <w:rFonts w:cs="Times New Roman"/>
      <w:vertAlign w:val="superscript"/>
    </w:rPr>
  </w:style>
  <w:style w:type="paragraph" w:customStyle="1" w:styleId="1422">
    <w:name w:val="1422"/>
    <w:aliases w:val="baiaagaaboqcaaadxwmaaaxva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853">
    <w:name w:val="2853"/>
    <w:aliases w:val="baiaagaaboqcaaaddqcaaaubb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Contents">
    <w:name w:val="Table Contents"/>
    <w:basedOn w:val="a"/>
    <w:rsid w:val="001C5ED9"/>
    <w:pPr>
      <w:suppressLineNumbers/>
      <w:spacing w:after="0" w:line="240" w:lineRule="auto"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styleId="23">
    <w:name w:val="Body Text 2"/>
    <w:basedOn w:val="a"/>
    <w:link w:val="24"/>
    <w:rsid w:val="001C5ED9"/>
    <w:pPr>
      <w:spacing w:after="200" w:line="276" w:lineRule="auto"/>
      <w:jc w:val="both"/>
    </w:pPr>
    <w:rPr>
      <w:rFonts w:ascii="Cambria" w:eastAsia="Calibri" w:hAnsi="Cambria" w:cs="Cambria"/>
      <w:sz w:val="28"/>
      <w:szCs w:val="28"/>
      <w:lang w:eastAsia="uk-UA"/>
    </w:rPr>
  </w:style>
  <w:style w:type="character" w:customStyle="1" w:styleId="24">
    <w:name w:val="Основний текст 2 Знак"/>
    <w:link w:val="23"/>
    <w:locked/>
    <w:rsid w:val="001C5ED9"/>
    <w:rPr>
      <w:rFonts w:ascii="Cambria" w:hAnsi="Cambria" w:cs="Cambria"/>
      <w:sz w:val="20"/>
      <w:szCs w:val="20"/>
      <w:lang w:val="x-none" w:eastAsia="uk-UA"/>
    </w:rPr>
  </w:style>
  <w:style w:type="paragraph" w:customStyle="1" w:styleId="HeadingA4">
    <w:name w:val="Heading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48"/>
      <w:szCs w:val="48"/>
      <w:lang w:eastAsia="zh-CN"/>
    </w:rPr>
  </w:style>
  <w:style w:type="paragraph" w:customStyle="1" w:styleId="TextA4">
    <w:name w:val="Text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36"/>
      <w:szCs w:val="36"/>
      <w:lang w:eastAsia="zh-CN"/>
    </w:rPr>
  </w:style>
  <w:style w:type="paragraph" w:customStyle="1" w:styleId="3615">
    <w:name w:val="3615"/>
    <w:aliases w:val="baiaagaaboqcaaadwawaaavmd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267">
    <w:name w:val="4267"/>
    <w:aliases w:val="baiaagaaboqcaaad5a4aaaxyd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046">
    <w:name w:val="6046"/>
    <w:aliases w:val="baiaagaaboqcaaad1xuaaaxlf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971">
    <w:name w:val="4971"/>
    <w:aliases w:val="baiaagaaboqcaaadpbeaaawye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189">
    <w:name w:val="7189"/>
    <w:aliases w:val="baiaagaaboqcaaadthoaaavcg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683">
    <w:name w:val="2683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628">
    <w:name w:val="7628"/>
    <w:aliases w:val="baiaagaaboqcaaadqhcaaaw4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5516">
    <w:name w:val="5516"/>
    <w:aliases w:val="baiaagaaboqcaaadxrmaaaxte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525">
    <w:name w:val="6525"/>
    <w:aliases w:val="baiaagaaboqcaaadthcaaaxe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8081">
    <w:name w:val="8081"/>
    <w:aliases w:val="baiaagaaboqcaaadyh0aaaxyh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3375">
    <w:name w:val="3375"/>
    <w:aliases w:val="baiaagaaboqcaaadaasaaav2c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4">
    <w:name w:val="annotation reference"/>
    <w:semiHidden/>
    <w:rsid w:val="00CD0F64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semiHidden/>
    <w:rsid w:val="00CD0F64"/>
    <w:pPr>
      <w:spacing w:line="240" w:lineRule="auto"/>
    </w:pPr>
    <w:rPr>
      <w:sz w:val="20"/>
      <w:szCs w:val="20"/>
    </w:rPr>
  </w:style>
  <w:style w:type="character" w:customStyle="1" w:styleId="af6">
    <w:name w:val="Текст примітки Знак"/>
    <w:link w:val="af5"/>
    <w:semiHidden/>
    <w:locked/>
    <w:rsid w:val="00CD0F64"/>
    <w:rPr>
      <w:rFonts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CD0F64"/>
    <w:rPr>
      <w:b/>
      <w:bCs/>
    </w:rPr>
  </w:style>
  <w:style w:type="character" w:customStyle="1" w:styleId="af8">
    <w:name w:val="Тема примітки Знак"/>
    <w:link w:val="af7"/>
    <w:semiHidden/>
    <w:locked/>
    <w:rsid w:val="00CD0F64"/>
    <w:rPr>
      <w:rFonts w:cs="Times New Roman"/>
      <w:b/>
      <w:bCs/>
      <w:sz w:val="20"/>
      <w:szCs w:val="20"/>
    </w:rPr>
  </w:style>
  <w:style w:type="character" w:styleId="af9">
    <w:name w:val="Subtle Emphasis"/>
    <w:uiPriority w:val="19"/>
    <w:qFormat/>
    <w:rsid w:val="00FA6AB8"/>
    <w:rPr>
      <w:i/>
      <w:iCs/>
      <w:color w:val="404040"/>
    </w:rPr>
  </w:style>
  <w:style w:type="table" w:customStyle="1" w:styleId="af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YUjkkgKqVacto2SLccxJQZI9uA==">CgMxLjAyCGguZ2pkZ3hzOAByITFWY1E0a1hJWXN3N3dIa3diWXVEQTJxOXFRck0yanBSeA==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80B723-5360-46F1-9BA3-346FCC54D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38</Pages>
  <Words>30747</Words>
  <Characters>17527</Characters>
  <Application>Microsoft Office Word</Application>
  <DocSecurity>0</DocSecurity>
  <Lines>146</Lines>
  <Paragraphs>96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Пастушенко</dc:creator>
  <cp:lastModifiedBy>user32</cp:lastModifiedBy>
  <cp:revision>10</cp:revision>
  <cp:lastPrinted>2025-08-26T12:41:00Z</cp:lastPrinted>
  <dcterms:created xsi:type="dcterms:W3CDTF">2025-12-30T15:33:00Z</dcterms:created>
  <dcterms:modified xsi:type="dcterms:W3CDTF">2025-12-30T16:51:00Z</dcterms:modified>
</cp:coreProperties>
</file>